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Bocskai Horgász Egyesület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Hajdúböszörmény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Egyesületi horgászrend 202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 Tóhasználati szabályzat)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Az egyesületünk használatában lév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Kajánsziki - horgásztavon csak érvényes engedéllyel szabad horgászni. A horgásztóra érkező horgász köteles a horgász háznál, halőrnél jelentkezni. A horgászkártyát a halőrnek le kell adni, melyet a horgász, a horgászat befejezését követően kap vissza.  Az éves területi jegy, a napijegy átvétele a tó horgász rendjének automatikus elfogadását jelenti, amiben foglaltakat mindenki köteles megismerni és betartani. Az egyesületi horgászrendben nem szabályozottak a Halgazdálkodásról és a Hal védelméről szóló 2013.évi CII. törvény előírásai az irányadók. A horgászrend megszegése a horgászat azonnali befejezését követően, az engedély bevonását, szabálysértési és fegyelmi eljárást von maga után.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Horgásztóra engedéllyel rendelkez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ők számára lehetőség van az engedélyében meghatározott számú készséggel horgászni, azonban a horgászhelyen készenlétben más felszerelt bot nem tartható! Ha a horgászat során a megtartani kívánt, és így szákba került halak száma elérte az adott kategóriára engedélyezett napi maximumot, napkeltétől - napnyugtáig illetve napnyugtától - napkeltéig /ami felnőtteknél 2 darab, ifi-és gyermek horgászoknál 1 darab méretkorlátozás alá eső hal/, de nem haladja meg az O.H.R. által előírt napi /24 óra/ mennyiséget /3 db./, akkor a horgászat folytatható de hal nem tartható meg.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A feln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őtt éves területi engedéllyel rendelkezők számára elvihető nemes hal összesen 25 db, maximum 50kg. Az ifjúsági éves területi engedéllyel rendelkezők számára elvihető nemes hal összesen 12 db. maximum 25 kg. A gyermek éves területi engedéllyel rendelkezők számára elvihető hal összesen 5 db, maximum 15 kg. Az éves mennyiségbe nem számít bele a harcsa.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Ha a horgászatok során az elvitt nemes halak száma vagy súlya már elérte az engedélyezett éves mennyiséget, a horgászat folytatható, de a nemes halak bármilyen nemű tárolása, elvitele illetve minden nemű rablóhalas horgászat szigorúan TILOS. 2. területi engedély nem váltható!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A tavon kifogható hal mérete a fogási naplóban feltüntetett méretkorlátozású lehet. Ez alól kivételt képeznek az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kg-os, vagy annál nagyobb pontyok, a compó, valamint a 3kg alatti és a 6kg feletti amur, melyek elvitele TILOS!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Pontymatrac használata,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megfelel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ő méretű, sűrű szövésű merítőháló illetve sebfertőtlenító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kötelező!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 nagytestű, nem megtartható nemes halat a mérlegelést, az ajánlott alapos fertőtlenítést, fényképezést követően azonnal vissza kell helyezni a horgásztóba. A halak fényképezése kizárólag guggoló testhelyzetben, a halat a pontymatrac felett tartva végzendő. TILOS a halak álló testhelyzetben való fényképezése. A fotózásánál csak a halat megfogó horgász veheti kézbe a pontyot vagy amurt, a kézből kézbe adás nem megengedett. A halak mérlegelése kizárólag a pontymatrac fölött engedélyezett. A procedúra során a halat és a pontymatracot kérjük folyamatosan nedvesen tartani. Szigorúan TILOS a halak bármilyen módszerrel való megjelölése, esetleges csonkítása. Tilos a nagytestű halak bármilyen nemű szállítása. A kifogott hallal minden horgász köteles a lehető legkíméletesebb módon bánni.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Csónakázni, csónakból horgászni, a tóba bejárni TILOS! A horgásztó területén az etet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őhajó használata,                dőlőbója etetőhajóval való behúzása engedélyezett. A felcsalizott, horoggal ellátott végszerelék bevontatása szigorúan TILOS! A horgászati /etetési/ hely dőlőbójával, jelző /marker/ úszóval a horgászat ideje alatt megjelölhető, de ennek használatát előzetesen a halőrnél be kell jelenteni, a horgászat befejezésével a jelzőt /dőlőbója, marker úszó/ el kell távolítani! Horgászállásonként maximum egy bója, jelzőúszó használható!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Napijegyes horgászok számára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 Március 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– November 26-ig engedélyezett a horgászat, az    alábbi  nyitvatartás szerint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    Március 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- Május 31.-ig napkeltétől - 18:00 óráig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     Június 01-t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- augusztus 31.-ig napkeltétől - 20:00 óráig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    Szeptember 01-t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- Október 31.-ig napkeltétől - 17:00 óráig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    November 01-t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- November 26.-ig napkeltétől - 16:00 óráig.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 nyitvatartási id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őpontok változásának jogát az Elnökség fenntartja. Éjszakai horgászat pénteki illetve szombati napokon és a hosszú hétvégéken engedélyezett. A fent említett időpontokon kívül a napijegyes horgászat nem engedélyezett. Napijeggyel horgászni lehet a Magas-parton és a Lapos-parton. A Nyúlgátakon illetve a horgásztó kíméleti szakaszain a napijegyes horgász csak Egyesületi tagunkkal horgászhat, aki felelőséggel tartozik Annak tetteiért. A napijegyes horgászok száma egyidejűleg maximum 40 fő lehet.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Érvényes területi engedéllyel rendelkez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ő egyesületi tagjainknak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számára a horgászat napkeltétől napnyugtáig engedélyezett. 2023. Március 10-től – November    26-ig engedélyezett az éjszakai horgászat, csütörtöki, pénteki illetve szombati napokon és a hosszú hétvégéken. Harcsafogás céljából (maximum 2 bottal, csak 3 ágú horoggal kishallal, ill. puhatestűvel csalizva), éjszakai jegy megváltása mellett hétköznap is lehetőség van éjszakai horgászatra.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Hétköznap, éjszakai harcsahorgászaton részt vevó tagjaink fogadhatnak vendéget - saját felelősségre - akinek a horgászat nem engedélyezett!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Az éjszakai harcsahorgászat 2023.május 02-től -2023.június 15-ig TILOS, nem engedélyezett!!!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A horgászhelyet megközelíteni a horgászoknak gyalogosan, kerékpárral, motorkerékpárral és 3500 kg-ot meg nem haladó személygépkocsival maximum 10km/h sebességgel szabad úgy, hogy horgásztársukat nem zavarják, a közlekedést ne akadályozzák, a töltést ne károsítják.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 Felázott töltésen gépjárm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űvel közlekedni TILOS!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A tó körül tüzet gyújtani, kutyát és egyéb haszonállatot tartani, sétáltatni, füröszteni, azzal ott tartózkodni, a tóban fürdetni tilos. Ideiglenes sátorverés illetve lakókocsi kihelyezés a horgászállás közelében napkeltét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– napnyugtáig engedélyezett. Csütörtöki, pénteki illetve szombati napokon illetve hosszú hétvégéken éjszaka is engedélyezett, de a hétvégi horgászat befejezése után a sátor lebontása és a lakókocsi kivontatása kötelező! Az éjszakai horgászat idején a tűzgyújtás csak a halőrrel egyeztetve, a tűzgyújtás szabályait betartva engedélyezett.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 A horgászat befejezése után mindenki köteles a horgászhelyét tisztán hagyni.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9. Egész évben tilos kifogni a természetvédelem alá tartózó halfajokat /az állami horgászjegyen feltüntetve/. A horgásztó nagy nyúlgát és Keleti f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őcsatorna közötti szakaszán a ponty tilalmi ideje alatt horgászni tilos! Tilos a tavon horgászni, valamint ingatlanrészein tartózkodni a haltelepítést követő tilalmi csend ideje alatt.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10. A járm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űvel behajtók kötelesek felszólítás nélkül érkezéskor és távozáskor a halőrnél bejelentkezni, járművüket az ellenőröknek (társadalmi halőrök, vezetőségi tagok, rendőrség stb.) ellenőrzés céljából bemutatni, kérésükre kipakolni.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11. Éjszakai horgászat alkalmával, sötétedés után a horgászhelyét köteles folyamatosan kivilágítani.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Éjszakai horgászaton gyermekkorúak nem vehetnek részt (de feln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őtt felügyelete mellett kint tartózkodhat),  ifi horgászok csak bejelentett felnőtt felügyelettel horgászhatnak.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12. A bevetett készséget a horgásznak elhagyni csak annyira lehet, hogy kapás esetén azonnal bevághasson. A más horgászvízen történ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horgászat ideje alatt az Egyesületi területen semmilyen tevékenység nem végezhető. Aki horgászhelyét, készségét elhagyja, készségét köteles a vízből kivenni, azok őrzésével mást megbízni nem szabad.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13. A tavon a házi,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őre jelzett pénzdíjas versenyek idején a résztvevőkön kívül senki nem horgászhat.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14.  A   befagyott tó jegén horgászni nem szabad. A tó jegének lékelését szervezett formában, megállapodás szerint végezhetik.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15. A horgásztavon a horgászrend betartását igazolvánnyal ellátott társadalmi hal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őrök végzik, akiknek minden horgász köteles okmányait átadni, intézkedéseinek eleget tenni, a kifogott halakat kérésükre bemutatni. Társadalmi halőrök jogköre kiterjed halászati, horgászati jogsértés gyanúja esetén, a halfogásra jogosító okmányok visszatartására, a halászati őr, rendőrség megérkezéséig. Ellenőrzést igazolvánnyal rendelkező vezetőségi és felügyelő bizottsági tagok is végezhetnek.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16. Mivel a tagokat egyenl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jogok illetik meg és egyforma kötelezettségek terhelik, így az egyesület által fenntartott horgásztanyán és ingatlan részén semmilyen formában nem létesíthető egyéni tároló hely, valamint nem tárolható etetőanyag, horgászfelszerelés, segédeszköz. A jogi egyenlőség alapján ezen létesítmények használata és igénybevétele hivatalos horgászati időn kívül felhatalmazás hiányában tilos. Minden horgász tekintse kötelességének a horgászrend betartását, a környezetvédelmi és halőrzési munkában való részvételt.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17. A tavon foglalt és jelölt horgászhelyek, a kijelölt stéghelyek és a megépített stégek kivételével nincsenek. A jelölt és megépített horgászhely csak els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őbbséget biztosít létesítőjének illetve bérlőjének, távollétében azt bárki használhatja.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18. A horgászat a horgásztó területén saját felel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ősségre történik. A horgásztó területén történt bármilyen balesetért az egyesület felelősséget és kártérítést nem vállal!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19. 3 bottal való horgászat kizárólag csak pontyfogás céljára, rablóhalas horgászat csak és kizárólag     2 bottal engelyézett, 3.bot használata TILOS!!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Hajdúböszörmény,202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3-02-05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Az Egyesület Vezet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ősége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Szabó Csaba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